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C741E" w14:textId="77777777" w:rsidR="00556292" w:rsidRPr="00556292" w:rsidRDefault="00556292" w:rsidP="00556292">
      <w:pPr>
        <w:widowControl w:val="0"/>
        <w:autoSpaceDE w:val="0"/>
        <w:autoSpaceDN w:val="0"/>
        <w:adjustRightInd w:val="0"/>
        <w:rPr>
          <w:rFonts w:ascii="Arial" w:hAnsi="Arial" w:cs="Arial"/>
          <w:b/>
          <w:bCs/>
          <w:color w:val="1A1A1A"/>
          <w:sz w:val="30"/>
          <w:szCs w:val="36"/>
          <w14:shadow w14:blurRad="50800" w14:dist="38100" w14:dir="2700000" w14:sx="100000" w14:sy="100000" w14:kx="0" w14:ky="0" w14:algn="tl">
            <w14:srgbClr w14:val="000000">
              <w14:alpha w14:val="60000"/>
            </w14:srgbClr>
          </w14:shadow>
        </w:rPr>
      </w:pPr>
      <w:r w:rsidRPr="00556292">
        <w:rPr>
          <w:rFonts w:ascii="Arial" w:hAnsi="Arial" w:cs="Arial"/>
          <w:b/>
          <w:bCs/>
          <w:color w:val="1A1A1A"/>
          <w:sz w:val="30"/>
          <w:szCs w:val="36"/>
          <w14:shadow w14:blurRad="50800" w14:dist="38100" w14:dir="2700000" w14:sx="100000" w14:sy="100000" w14:kx="0" w14:ky="0" w14:algn="tl">
            <w14:srgbClr w14:val="000000">
              <w14:alpha w14:val="60000"/>
            </w14:srgbClr>
          </w14:shadow>
        </w:rPr>
        <w:t>Conflict Of Interest Policy And Agreement</w:t>
      </w:r>
    </w:p>
    <w:p w14:paraId="221F7279" w14:textId="77777777" w:rsidR="00556292" w:rsidRPr="00556292" w:rsidRDefault="00556292" w:rsidP="00556292">
      <w:pPr>
        <w:widowControl w:val="0"/>
        <w:autoSpaceDE w:val="0"/>
        <w:autoSpaceDN w:val="0"/>
        <w:adjustRightInd w:val="0"/>
        <w:jc w:val="both"/>
        <w:rPr>
          <w:rFonts w:ascii="Arial" w:hAnsi="Arial" w:cs="Arial"/>
          <w:color w:val="1A1A1A"/>
          <w:szCs w:val="30"/>
          <w14:shadow w14:blurRad="50800" w14:dist="38100" w14:dir="2700000" w14:sx="100000" w14:sy="100000" w14:kx="0" w14:ky="0" w14:algn="tl">
            <w14:srgbClr w14:val="000000">
              <w14:alpha w14:val="60000"/>
            </w14:srgbClr>
          </w14:shadow>
        </w:rPr>
      </w:pPr>
      <w:r w:rsidRPr="00556292">
        <w:rPr>
          <w:rFonts w:ascii="Arial" w:hAnsi="Arial" w:cs="Arial"/>
          <w:color w:val="1A1A1A"/>
          <w:szCs w:val="30"/>
          <w14:shadow w14:blurRad="50800" w14:dist="38100" w14:dir="2700000" w14:sx="100000" w14:sy="100000" w14:kx="0" w14:ky="0" w14:algn="tl">
            <w14:srgbClr w14:val="000000">
              <w14:alpha w14:val="60000"/>
            </w14:srgbClr>
          </w14:shadow>
        </w:rPr>
        <w:t> </w:t>
      </w:r>
    </w:p>
    <w:p w14:paraId="2B77620D" w14:textId="77777777" w:rsidR="00556292" w:rsidRPr="00556292" w:rsidRDefault="00556292" w:rsidP="00556292">
      <w:pPr>
        <w:widowControl w:val="0"/>
        <w:autoSpaceDE w:val="0"/>
        <w:autoSpaceDN w:val="0"/>
        <w:adjustRightInd w:val="0"/>
        <w:jc w:val="both"/>
        <w:rPr>
          <w:rFonts w:ascii="Arial" w:hAnsi="Arial" w:cs="Arial"/>
          <w:b/>
          <w:bCs/>
          <w:color w:val="1A1A1A"/>
          <w:sz w:val="30"/>
          <w:szCs w:val="36"/>
          <w14:shadow w14:blurRad="50800" w14:dist="38100" w14:dir="2700000" w14:sx="100000" w14:sy="100000" w14:kx="0" w14:ky="0" w14:algn="tl">
            <w14:srgbClr w14:val="000000">
              <w14:alpha w14:val="60000"/>
            </w14:srgbClr>
          </w14:shadow>
        </w:rPr>
      </w:pPr>
      <w:r w:rsidRPr="00556292">
        <w:rPr>
          <w:rFonts w:ascii="Arial" w:hAnsi="Arial" w:cs="Arial"/>
          <w:b/>
          <w:bCs/>
          <w:color w:val="1A1A1A"/>
          <w:sz w:val="30"/>
          <w:szCs w:val="36"/>
          <w14:shadow w14:blurRad="50800" w14:dist="38100" w14:dir="2700000" w14:sx="100000" w14:sy="100000" w14:kx="0" w14:ky="0" w14:algn="tl">
            <w14:srgbClr w14:val="000000">
              <w14:alpha w14:val="60000"/>
            </w14:srgbClr>
          </w14:shadow>
        </w:rPr>
        <w:t>Article I</w:t>
      </w:r>
    </w:p>
    <w:p w14:paraId="1DF95B40" w14:textId="77777777" w:rsidR="00556292" w:rsidRPr="00556292" w:rsidRDefault="00556292" w:rsidP="00556292">
      <w:pPr>
        <w:widowControl w:val="0"/>
        <w:autoSpaceDE w:val="0"/>
        <w:autoSpaceDN w:val="0"/>
        <w:adjustRightInd w:val="0"/>
        <w:jc w:val="center"/>
        <w:rPr>
          <w:rFonts w:ascii="Arial" w:hAnsi="Arial" w:cs="Arial"/>
          <w:b/>
          <w:bCs/>
          <w:color w:val="1A1A1A"/>
          <w:sz w:val="26"/>
          <w:szCs w:val="32"/>
          <w:u w:color="1A1A1A"/>
        </w:rPr>
      </w:pPr>
      <w:r w:rsidRPr="00556292">
        <w:rPr>
          <w:rFonts w:ascii="Arial" w:hAnsi="Arial" w:cs="Arial"/>
          <w:b/>
          <w:bCs/>
          <w:color w:val="1A1A1A"/>
          <w:sz w:val="26"/>
          <w:szCs w:val="32"/>
          <w:u w:val="single" w:color="1A1A1A"/>
        </w:rPr>
        <w:t>PURPOSES</w:t>
      </w:r>
    </w:p>
    <w:p w14:paraId="022E6784"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It is important for </w:t>
      </w: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directors, officers, and staff to be aware that both real and apparent conflicts of interest or dualities of interest sometimes occur in the course of conducting the affairs of the corporation and that the appearance of conflict can be troublesome even if there is in fact no conflict whatsoever.  Conflicts occur because the many persons associated with the corporation should be expected to have, and do in fact generally have multiple interests and affiliations and various positions of responsibility within the community.  In these situations a person will sometimes owe identical duties of loyalty to two or more corporations.  The purpose of the conflict of interest policy is to protect the corporation’s tax-exempt interest when it is contemplating entering into a transaction or arrangement that might benefit the private interest of an officer or director of the corporation or might result in a possible excess benefit transaction.  The policy is intended to supplement but not replace any applicable state and federal laws governing conflict of interest applicable to nonprofit and charitable organizations.</w:t>
      </w:r>
    </w:p>
    <w:p w14:paraId="4945EE72" w14:textId="1499C33C"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Conflicts are undesirable because they potentially or eventually place the interests of others ahead of the corporation’s obligations to its charitable purposes and to the public interest.  Conflicts are also undesirable because they often reflect adversely upon the person involved and upon the institutions with which they are affiliated, regardless of the actual facts or motivations of the parties. </w:t>
      </w:r>
    </w:p>
    <w:p w14:paraId="1AD96DCD"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Each member of the board of directors and the staff of the corporation has a duty of loyalty to the corporation.  The duty of loyalty generally requires a director or staff member to prefer the interests of the corporation over the director’s/staff’s interest or the interests of others.  In addition, directors and staff of the corporation shall avoid acts of self-dealing which may adversely affect the tax-exempt status of the corporation or cause there to arise any sanction or penalty by a governmental authority.</w:t>
      </w:r>
    </w:p>
    <w:p w14:paraId="2256088C" w14:textId="588B1BA0"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In connection with any actual or possible conflict of interest, an interested person must </w:t>
      </w:r>
      <w:r w:rsidR="00B923F2">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formally </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disclose the existence of the financial interest and be given the opportunity to </w:t>
      </w:r>
      <w:r w:rsidR="00B923F2">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formally </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disclose all material facts to the directors and members of committees with governing board delegated powers considering the proposed transaction or arrangement.</w:t>
      </w:r>
    </w:p>
    <w:p w14:paraId="5992A9BE"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6A86B16B" w14:textId="77777777" w:rsidR="00556292" w:rsidRPr="00556292" w:rsidRDefault="00556292" w:rsidP="00556292">
      <w:pPr>
        <w:widowControl w:val="0"/>
        <w:autoSpaceDE w:val="0"/>
        <w:autoSpaceDN w:val="0"/>
        <w:adjustRightInd w:val="0"/>
        <w:jc w:val="both"/>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Article II</w:t>
      </w:r>
    </w:p>
    <w:p w14:paraId="4C513614" w14:textId="77777777" w:rsidR="00556292" w:rsidRPr="00556292" w:rsidRDefault="00556292" w:rsidP="00556292">
      <w:pPr>
        <w:widowControl w:val="0"/>
        <w:autoSpaceDE w:val="0"/>
        <w:autoSpaceDN w:val="0"/>
        <w:adjustRightInd w:val="0"/>
        <w:jc w:val="center"/>
        <w:rPr>
          <w:rFonts w:ascii="Arial" w:hAnsi="Arial" w:cs="Arial"/>
          <w:b/>
          <w:bCs/>
          <w:color w:val="1A1A1A"/>
          <w:sz w:val="26"/>
          <w:szCs w:val="32"/>
          <w:u w:color="1A1A1A"/>
        </w:rPr>
      </w:pPr>
      <w:r w:rsidRPr="00556292">
        <w:rPr>
          <w:rFonts w:ascii="Arial" w:hAnsi="Arial" w:cs="Arial"/>
          <w:b/>
          <w:bCs/>
          <w:color w:val="1A1A1A"/>
          <w:sz w:val="26"/>
          <w:szCs w:val="32"/>
          <w:u w:val="single" w:color="1A1A1A"/>
        </w:rPr>
        <w:t>DEFINITIONS</w:t>
      </w:r>
    </w:p>
    <w:p w14:paraId="62947FCB"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75F7897A"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2.1   Interested Person </w:t>
      </w:r>
    </w:p>
    <w:p w14:paraId="3461FB64" w14:textId="5DB59658"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lastRenderedPageBreak/>
        <w:t xml:space="preserve">Any director, principal officer, or member of a committee with governing board delegated powers, who has a direct or indirect financial interest, as defined below, </w:t>
      </w:r>
      <w:r w:rsidR="00B923F2">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or who engages in a dual commitment of outside interests while a pre-existing commitment has been established to Champions for Charity, as defined below, </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is an interested person.</w:t>
      </w:r>
    </w:p>
    <w:p w14:paraId="2DF5FEBA"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5139DF6A"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2.2   Financial Interest </w:t>
      </w:r>
    </w:p>
    <w:p w14:paraId="343CC80A" w14:textId="5EBC365F"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A person has a financial interest if the person </w:t>
      </w:r>
      <w:r w:rsidR="00B923F2">
        <w:rPr>
          <w:rFonts w:ascii="Arial" w:hAnsi="Arial" w:cs="Arial"/>
          <w:color w:val="1A1A1A"/>
          <w:szCs w:val="30"/>
          <w:u w:color="1A1A1A"/>
          <w14:shadow w14:blurRad="50800" w14:dist="38100" w14:dir="2700000" w14:sx="100000" w14:sy="100000" w14:kx="0" w14:ky="0" w14:algn="tl">
            <w14:srgbClr w14:val="000000">
              <w14:alpha w14:val="60000"/>
            </w14:srgbClr>
          </w14:shadow>
        </w:rPr>
        <w:t>has, directly or indirectly, th</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rough business, investment, </w:t>
      </w:r>
      <w:r w:rsidR="00B923F2">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school, </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or family:</w:t>
      </w:r>
    </w:p>
    <w:p w14:paraId="1AD2FC01"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(a)</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An ownership or investment interest in any entity with which the corporation has a transaction or arrangement,</w:t>
      </w:r>
    </w:p>
    <w:p w14:paraId="2B1A7A12"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(b)</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A compensation arrangement with the corporation or with any entity or individual with which the corporation has a transaction or arrangement, or</w:t>
      </w:r>
    </w:p>
    <w:p w14:paraId="31C9D7DC"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(c)</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A potential ownership or investment interest in, or compensation arrangement with, any entity or individual with which the corporation is negotiating a transaction or arrangement.</w:t>
      </w:r>
    </w:p>
    <w:p w14:paraId="276AEC2A" w14:textId="77777777" w:rsid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w:t>
      </w:r>
    </w:p>
    <w:p w14:paraId="63C9FCEA" w14:textId="236E68C2" w:rsidR="00B923F2" w:rsidRDefault="00B923F2" w:rsidP="00B923F2">
      <w:pPr>
        <w:widowControl w:val="0"/>
        <w:autoSpaceDE w:val="0"/>
        <w:autoSpaceDN w:val="0"/>
        <w:adjustRightInd w:val="0"/>
        <w:jc w:val="both"/>
        <w:rPr>
          <w:rFonts w:ascii="Arial" w:hAnsi="Arial" w:cs="Arial"/>
          <w:b/>
          <w:bCs/>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2.2   </w:t>
      </w:r>
      <w:r>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Engaging in Dual Commitment </w:t>
      </w:r>
    </w:p>
    <w:p w14:paraId="177DD747" w14:textId="4EAD828C" w:rsidR="00B923F2" w:rsidRDefault="00B923F2" w:rsidP="00B923F2">
      <w:pPr>
        <w:widowControl w:val="0"/>
        <w:autoSpaceDE w:val="0"/>
        <w:autoSpaceDN w:val="0"/>
        <w:adjustRightInd w:val="0"/>
        <w:jc w:val="both"/>
        <w:rPr>
          <w:rFonts w:ascii="Arial" w:hAnsi="Arial" w:cs="Arial"/>
          <w:bCs/>
          <w:color w:val="1A1A1A"/>
          <w:szCs w:val="30"/>
          <w:u w:color="1A1A1A"/>
          <w14:shadow w14:blurRad="50800" w14:dist="38100" w14:dir="2700000" w14:sx="100000" w14:sy="100000" w14:kx="0" w14:ky="0" w14:algn="tl">
            <w14:srgbClr w14:val="000000">
              <w14:alpha w14:val="60000"/>
            </w14:srgbClr>
          </w14:shadow>
        </w:rPr>
      </w:pPr>
      <w:r>
        <w:rPr>
          <w:rFonts w:ascii="Arial" w:hAnsi="Arial" w:cs="Arial"/>
          <w:bCs/>
          <w:color w:val="1A1A1A"/>
          <w:szCs w:val="30"/>
          <w:u w:color="1A1A1A"/>
          <w14:shadow w14:blurRad="50800" w14:dist="38100" w14:dir="2700000" w14:sx="100000" w14:sy="100000" w14:kx="0" w14:ky="0" w14:algn="tl">
            <w14:srgbClr w14:val="000000">
              <w14:alpha w14:val="60000"/>
            </w14:srgbClr>
          </w14:shadow>
        </w:rPr>
        <w:t>A person has engaged in dual commitment if the person has made, directly or indirectly, through business, investment, school, or family:</w:t>
      </w:r>
    </w:p>
    <w:p w14:paraId="07A639CF" w14:textId="2EDCBE3F" w:rsidR="00B923F2" w:rsidRDefault="00B923F2" w:rsidP="00B923F2">
      <w:pPr>
        <w:widowControl w:val="0"/>
        <w:autoSpaceDE w:val="0"/>
        <w:autoSpaceDN w:val="0"/>
        <w:adjustRightInd w:val="0"/>
        <w:jc w:val="both"/>
        <w:rPr>
          <w:rFonts w:ascii="Arial" w:hAnsi="Arial" w:cs="Arial"/>
          <w:bCs/>
          <w:color w:val="1A1A1A"/>
          <w:szCs w:val="30"/>
          <w:u w:color="1A1A1A"/>
          <w14:shadow w14:blurRad="50800" w14:dist="38100" w14:dir="2700000" w14:sx="100000" w14:sy="100000" w14:kx="0" w14:ky="0" w14:algn="tl">
            <w14:srgbClr w14:val="000000">
              <w14:alpha w14:val="60000"/>
            </w14:srgbClr>
          </w14:shadow>
        </w:rPr>
      </w:pPr>
      <w:r>
        <w:rPr>
          <w:rFonts w:ascii="Arial" w:hAnsi="Arial" w:cs="Arial"/>
          <w:b/>
          <w:bCs/>
          <w:color w:val="1A1A1A"/>
          <w:szCs w:val="30"/>
          <w:u w:color="1A1A1A"/>
          <w14:shadow w14:blurRad="50800" w14:dist="38100" w14:dir="2700000" w14:sx="100000" w14:sy="100000" w14:kx="0" w14:ky="0" w14:algn="tl">
            <w14:srgbClr w14:val="000000">
              <w14:alpha w14:val="60000"/>
            </w14:srgbClr>
          </w14:shadow>
        </w:rPr>
        <w:t>(a)</w:t>
      </w:r>
      <w:r>
        <w:rPr>
          <w:rFonts w:ascii="Arial" w:hAnsi="Arial" w:cs="Arial"/>
          <w:bCs/>
          <w:color w:val="1A1A1A"/>
          <w:szCs w:val="30"/>
          <w:u w:color="1A1A1A"/>
          <w14:shadow w14:blurRad="50800" w14:dist="38100" w14:dir="2700000" w14:sx="100000" w14:sy="100000" w14:kx="0" w14:ky="0" w14:algn="tl">
            <w14:srgbClr w14:val="000000">
              <w14:alpha w14:val="60000"/>
            </w14:srgbClr>
          </w14:shadow>
        </w:rPr>
        <w:t xml:space="preserve"> A commitment that conflicts directly with a pre-existing commitment to any Champions for Charity planned event or occurrence,</w:t>
      </w:r>
    </w:p>
    <w:p w14:paraId="6989B16C" w14:textId="45FE7A7A" w:rsidR="00B923F2" w:rsidRDefault="00B923F2" w:rsidP="00B923F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B923F2">
        <w:rPr>
          <w:rFonts w:ascii="Arial" w:hAnsi="Arial" w:cs="Arial"/>
          <w:b/>
          <w:color w:val="1A1A1A"/>
          <w:szCs w:val="30"/>
          <w:u w:color="1A1A1A"/>
          <w14:shadow w14:blurRad="50800" w14:dist="38100" w14:dir="2700000" w14:sx="100000" w14:sy="100000" w14:kx="0" w14:ky="0" w14:algn="tl">
            <w14:srgbClr w14:val="000000">
              <w14:alpha w14:val="60000"/>
            </w14:srgbClr>
          </w14:shadow>
        </w:rPr>
        <w:t>(b)</w:t>
      </w:r>
      <w:r>
        <w:rPr>
          <w:rFonts w:ascii="Arial" w:hAnsi="Arial" w:cs="Arial"/>
          <w:b/>
          <w:color w:val="1A1A1A"/>
          <w:szCs w:val="30"/>
          <w:u w:color="1A1A1A"/>
          <w14:shadow w14:blurRad="50800" w14:dist="38100" w14:dir="2700000" w14:sx="100000" w14:sy="100000" w14:kx="0" w14:ky="0" w14:algn="tl">
            <w14:srgbClr w14:val="000000">
              <w14:alpha w14:val="60000"/>
            </w14:srgbClr>
          </w14:shadow>
        </w:rPr>
        <w:t xml:space="preserve"> </w:t>
      </w:r>
      <w:r>
        <w:rPr>
          <w:rFonts w:ascii="Arial" w:hAnsi="Arial" w:cs="Arial"/>
          <w:color w:val="1A1A1A"/>
          <w:szCs w:val="30"/>
          <w:u w:color="1A1A1A"/>
          <w14:shadow w14:blurRad="50800" w14:dist="38100" w14:dir="2700000" w14:sx="100000" w14:sy="100000" w14:kx="0" w14:ky="0" w14:algn="tl">
            <w14:srgbClr w14:val="000000">
              <w14:alpha w14:val="60000"/>
            </w14:srgbClr>
          </w14:shadow>
        </w:rPr>
        <w:t>An agreement to a commitment that conflicts directly with a pre-existing commitment to any Champions for charity planned event or occurrence.</w:t>
      </w:r>
    </w:p>
    <w:p w14:paraId="717601BC" w14:textId="39E05F8A" w:rsidR="00B923F2" w:rsidRPr="00B923F2" w:rsidRDefault="00B923F2" w:rsidP="00B923F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Pr>
          <w:rFonts w:ascii="Arial" w:hAnsi="Arial" w:cs="Arial"/>
          <w:color w:val="1A1A1A"/>
          <w:szCs w:val="30"/>
          <w:u w:color="1A1A1A"/>
          <w14:shadow w14:blurRad="50800" w14:dist="38100" w14:dir="2700000" w14:sx="100000" w14:sy="100000" w14:kx="0" w14:ky="0" w14:algn="tl">
            <w14:srgbClr w14:val="000000">
              <w14:alpha w14:val="60000"/>
            </w14:srgbClr>
          </w14:shadow>
        </w:rPr>
        <w:t>Under Article III, Section 2, a person who h</w:t>
      </w:r>
      <w:r w:rsidR="00E52A76">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as a dual commitment may have a conflict of interest only if the appropriate governing board or committee decides that a conflict of interest exists.  </w:t>
      </w:r>
    </w:p>
    <w:p w14:paraId="4BF2C78C" w14:textId="77777777" w:rsidR="00556292" w:rsidRPr="00556292" w:rsidRDefault="00556292" w:rsidP="00556292">
      <w:pPr>
        <w:widowControl w:val="0"/>
        <w:autoSpaceDE w:val="0"/>
        <w:autoSpaceDN w:val="0"/>
        <w:adjustRightInd w:val="0"/>
        <w:jc w:val="both"/>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Article III</w:t>
      </w:r>
    </w:p>
    <w:p w14:paraId="3BDE19DB" w14:textId="77777777" w:rsidR="00556292" w:rsidRPr="00556292" w:rsidRDefault="00556292" w:rsidP="00556292">
      <w:pPr>
        <w:widowControl w:val="0"/>
        <w:autoSpaceDE w:val="0"/>
        <w:autoSpaceDN w:val="0"/>
        <w:adjustRightInd w:val="0"/>
        <w:jc w:val="both"/>
        <w:rPr>
          <w:rFonts w:ascii="Arial" w:hAnsi="Arial" w:cs="Arial"/>
          <w:b/>
          <w:bCs/>
          <w:color w:val="1A1A1A"/>
          <w:sz w:val="26"/>
          <w:szCs w:val="32"/>
          <w:u w:color="1A1A1A"/>
        </w:rPr>
      </w:pPr>
      <w:r w:rsidRPr="00556292">
        <w:rPr>
          <w:rFonts w:ascii="Arial" w:hAnsi="Arial" w:cs="Arial"/>
          <w:b/>
          <w:bCs/>
          <w:color w:val="1A1A1A"/>
          <w:sz w:val="26"/>
          <w:szCs w:val="32"/>
          <w:u w:val="single" w:color="1A1A1A"/>
        </w:rPr>
        <w:t>PROCEDURES</w:t>
      </w:r>
    </w:p>
    <w:p w14:paraId="5292B1C9"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3.1   Duty to Disclose</w:t>
      </w:r>
    </w:p>
    <w:p w14:paraId="60BB53F2"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0D904249"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724B960D"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3.2  Determining Whether a Conflict of Interest Exists </w:t>
      </w:r>
    </w:p>
    <w:p w14:paraId="58C85F04" w14:textId="0557AF69"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After disclosure of the financial interest </w:t>
      </w:r>
      <w:r w:rsidR="00B923F2">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or dual commitment </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19F204AE"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74AA5416"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3.3   Procedures for Addressing the Conflict of Interest</w:t>
      </w:r>
    </w:p>
    <w:p w14:paraId="4568B7C5"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(a)</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5D5ECA12"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(b)</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The chairperson of the governing board or committee shall, if appropriate, appoint a disinterested person or committee to investigate alternatives to the proposed transaction or arrangement.</w:t>
      </w:r>
    </w:p>
    <w:p w14:paraId="187AF5A6"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(c)   </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After exercising due diligence, the governing board or committee shall determine whether the corporation can obtain with reasonable efforts a more advantageous transaction or arrangement from a person or entity that would not give rise to a conflict of interest.</w:t>
      </w:r>
    </w:p>
    <w:p w14:paraId="402EA45E"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(d)</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corporation’s best interest, for its own benefit, and whether it is fair and reasonable. In conformity with the above determination it shall make its decision as to whether to enter into the transaction or arrangement.</w:t>
      </w:r>
    </w:p>
    <w:p w14:paraId="5864736D"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20AD0F2A"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3.4  Violations of the Conflicts of Interest Policy</w:t>
      </w:r>
    </w:p>
    <w:p w14:paraId="2A2B8DAF"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(a)  </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63E73ABA"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(b)  </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38C4EEB4"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76062FE7" w14:textId="77777777" w:rsidR="00556292" w:rsidRPr="00556292" w:rsidRDefault="006C3160" w:rsidP="00556292">
      <w:pPr>
        <w:widowControl w:val="0"/>
        <w:autoSpaceDE w:val="0"/>
        <w:autoSpaceDN w:val="0"/>
        <w:adjustRightInd w:val="0"/>
        <w:jc w:val="both"/>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Article IV</w:t>
      </w:r>
    </w:p>
    <w:p w14:paraId="666899D1" w14:textId="77777777" w:rsidR="00556292" w:rsidRPr="00556292" w:rsidRDefault="00556292" w:rsidP="00556292">
      <w:pPr>
        <w:widowControl w:val="0"/>
        <w:autoSpaceDE w:val="0"/>
        <w:autoSpaceDN w:val="0"/>
        <w:adjustRightInd w:val="0"/>
        <w:jc w:val="center"/>
        <w:rPr>
          <w:rFonts w:ascii="Arial" w:hAnsi="Arial" w:cs="Arial"/>
          <w:b/>
          <w:bCs/>
          <w:color w:val="1A1A1A"/>
          <w:sz w:val="26"/>
          <w:szCs w:val="32"/>
          <w:u w:color="1A1A1A"/>
        </w:rPr>
      </w:pPr>
      <w:r w:rsidRPr="00556292">
        <w:rPr>
          <w:rFonts w:ascii="Arial" w:hAnsi="Arial" w:cs="Arial"/>
          <w:b/>
          <w:bCs/>
          <w:color w:val="1A1A1A"/>
          <w:sz w:val="26"/>
          <w:szCs w:val="32"/>
          <w:u w:val="single" w:color="1A1A1A"/>
        </w:rPr>
        <w:t>RECORDS OF PROCEEDINGS</w:t>
      </w:r>
    </w:p>
    <w:p w14:paraId="55E1CC27" w14:textId="77777777" w:rsidR="00556292" w:rsidRPr="00556292" w:rsidRDefault="00556292" w:rsidP="00556292">
      <w:pPr>
        <w:widowControl w:val="0"/>
        <w:autoSpaceDE w:val="0"/>
        <w:autoSpaceDN w:val="0"/>
        <w:adjustRightInd w:val="0"/>
        <w:jc w:val="center"/>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5261DD37"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4.1   Minutes</w:t>
      </w:r>
    </w:p>
    <w:p w14:paraId="0F707A26"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The minutes of the governing board and all committees with board delegated powers shall contain:</w:t>
      </w:r>
    </w:p>
    <w:p w14:paraId="690ABE3F"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(a)</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14:paraId="5C316ACD"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(b)</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6EDB143C"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65A432DD" w14:textId="77777777" w:rsidR="00556292" w:rsidRPr="00556292" w:rsidRDefault="00556292" w:rsidP="00556292">
      <w:pPr>
        <w:widowControl w:val="0"/>
        <w:autoSpaceDE w:val="0"/>
        <w:autoSpaceDN w:val="0"/>
        <w:adjustRightInd w:val="0"/>
        <w:jc w:val="both"/>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Article V</w:t>
      </w:r>
    </w:p>
    <w:p w14:paraId="674025DE" w14:textId="77777777" w:rsidR="00556292" w:rsidRPr="00556292" w:rsidRDefault="00556292" w:rsidP="00556292">
      <w:pPr>
        <w:widowControl w:val="0"/>
        <w:autoSpaceDE w:val="0"/>
        <w:autoSpaceDN w:val="0"/>
        <w:adjustRightInd w:val="0"/>
        <w:jc w:val="center"/>
        <w:rPr>
          <w:rFonts w:ascii="Arial" w:hAnsi="Arial" w:cs="Arial"/>
          <w:b/>
          <w:bCs/>
          <w:color w:val="1A1A1A"/>
          <w:sz w:val="22"/>
          <w:szCs w:val="28"/>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 w:val="22"/>
          <w:szCs w:val="28"/>
          <w:u w:val="single" w:color="1A1A1A"/>
          <w14:shadow w14:blurRad="50800" w14:dist="38100" w14:dir="2700000" w14:sx="100000" w14:sy="100000" w14:kx="0" w14:ky="0" w14:algn="tl">
            <w14:srgbClr w14:val="000000">
              <w14:alpha w14:val="60000"/>
            </w14:srgbClr>
          </w14:shadow>
        </w:rPr>
        <w:t>COMPENSATION</w:t>
      </w:r>
    </w:p>
    <w:p w14:paraId="22F9B0D5"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6001A688"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5.1 </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A voting member of the governing board who receives compensation, directly or indirectly, from the corporation for services is precluded from voting on matters pertaining to that member’s compensation.</w:t>
      </w:r>
    </w:p>
    <w:p w14:paraId="3A5E905D"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5.2   </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A voting member of any committee whose jurisdiction includes compensation matters and who receives compensation, directly or indirectly, from the corporation for services is precluded from voting on matters pertaining to that member’s compensation.</w:t>
      </w:r>
    </w:p>
    <w:p w14:paraId="58D51B45"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5.3.</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No voting member of the governing board or any committee whose jurisdiction includes compensation matters and who receives compensation, directly or indirectly, from the corporation, either individually or collectively, is prohibited from providing information to any committee regarding compensation.</w:t>
      </w:r>
    </w:p>
    <w:p w14:paraId="02841DF5" w14:textId="77777777" w:rsidR="00556292" w:rsidRPr="00556292" w:rsidRDefault="00556292" w:rsidP="00556292">
      <w:pPr>
        <w:widowControl w:val="0"/>
        <w:autoSpaceDE w:val="0"/>
        <w:autoSpaceDN w:val="0"/>
        <w:adjustRightInd w:val="0"/>
        <w:jc w:val="center"/>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217DE518" w14:textId="77777777" w:rsidR="00556292" w:rsidRPr="00556292" w:rsidRDefault="00556292" w:rsidP="00556292">
      <w:pPr>
        <w:widowControl w:val="0"/>
        <w:autoSpaceDE w:val="0"/>
        <w:autoSpaceDN w:val="0"/>
        <w:adjustRightInd w:val="0"/>
        <w:jc w:val="cente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Article Vi</w:t>
      </w:r>
    </w:p>
    <w:p w14:paraId="75CAA02F" w14:textId="77777777" w:rsidR="00556292" w:rsidRPr="00556292" w:rsidRDefault="00556292" w:rsidP="00556292">
      <w:pPr>
        <w:widowControl w:val="0"/>
        <w:autoSpaceDE w:val="0"/>
        <w:autoSpaceDN w:val="0"/>
        <w:adjustRightInd w:val="0"/>
        <w:jc w:val="center"/>
        <w:rPr>
          <w:rFonts w:ascii="Arial" w:hAnsi="Arial" w:cs="Arial"/>
          <w:b/>
          <w:bCs/>
          <w:color w:val="1A1A1A"/>
          <w:sz w:val="22"/>
          <w:szCs w:val="28"/>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 w:val="22"/>
          <w:szCs w:val="28"/>
          <w:u w:val="single" w:color="1A1A1A"/>
          <w14:shadow w14:blurRad="50800" w14:dist="38100" w14:dir="2700000" w14:sx="100000" w14:sy="100000" w14:kx="0" w14:ky="0" w14:algn="tl">
            <w14:srgbClr w14:val="000000">
              <w14:alpha w14:val="60000"/>
            </w14:srgbClr>
          </w14:shadow>
        </w:rPr>
        <w:t>ANNUAL STATEMENTS</w:t>
      </w:r>
    </w:p>
    <w:p w14:paraId="79703371"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6072665E"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Each director, principal officer and member of a committee with governing board delegated powers shall annually sign a statement which affirms such person:</w:t>
      </w:r>
    </w:p>
    <w:p w14:paraId="1FCE08C8"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(a)   </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Has received a copy of the conflicts of interest policy,</w:t>
      </w:r>
    </w:p>
    <w:p w14:paraId="3E3391F6"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(b)   </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Has read and understands the policy,</w:t>
      </w:r>
    </w:p>
    <w:p w14:paraId="5B7351C6"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(c)   </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Has agreed to comply with the policy, and</w:t>
      </w:r>
    </w:p>
    <w:p w14:paraId="7214F6BD"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(e)   </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Understands that the corporation is charitable and in order to maintain its federal tax exemption it must engage primarily in activities which accomplish one or more of its tax-exempt purposes.</w:t>
      </w:r>
    </w:p>
    <w:p w14:paraId="294A9A63" w14:textId="77777777" w:rsidR="00556292" w:rsidRPr="00556292" w:rsidRDefault="00556292" w:rsidP="00556292">
      <w:pPr>
        <w:widowControl w:val="0"/>
        <w:autoSpaceDE w:val="0"/>
        <w:autoSpaceDN w:val="0"/>
        <w:adjustRightInd w:val="0"/>
        <w:jc w:val="both"/>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Article VII</w:t>
      </w:r>
    </w:p>
    <w:p w14:paraId="2E1186D5" w14:textId="77777777" w:rsidR="00556292" w:rsidRPr="00556292" w:rsidRDefault="00556292" w:rsidP="00556292">
      <w:pPr>
        <w:widowControl w:val="0"/>
        <w:autoSpaceDE w:val="0"/>
        <w:autoSpaceDN w:val="0"/>
        <w:adjustRightInd w:val="0"/>
        <w:jc w:val="center"/>
        <w:rPr>
          <w:rFonts w:ascii="Arial" w:hAnsi="Arial" w:cs="Arial"/>
          <w:b/>
          <w:bCs/>
          <w:color w:val="1A1A1A"/>
          <w:sz w:val="22"/>
          <w:szCs w:val="28"/>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 w:val="22"/>
          <w:szCs w:val="28"/>
          <w:u w:val="single" w:color="1A1A1A"/>
          <w14:shadow w14:blurRad="50800" w14:dist="38100" w14:dir="2700000" w14:sx="100000" w14:sy="100000" w14:kx="0" w14:ky="0" w14:algn="tl">
            <w14:srgbClr w14:val="000000">
              <w14:alpha w14:val="60000"/>
            </w14:srgbClr>
          </w14:shadow>
        </w:rPr>
        <w:t>PERIODIC REVIEWS</w:t>
      </w:r>
    </w:p>
    <w:p w14:paraId="716E5C10"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31CEC4FA"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To ensure the corporation operates in a manner consistent with charitable purposes and does not engage in activities that could jeopardize its tax-exempt status, periodic reviews shall be conducted.  The periodic reviews shall, at a minimum, include the following subjects:</w:t>
      </w:r>
    </w:p>
    <w:p w14:paraId="64678BB3"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(a)</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Whether compensation arrangements and benefits are reasonable, based on competent survey information and the result of arm’s length bargaining.</w:t>
      </w:r>
    </w:p>
    <w:p w14:paraId="73674CE8"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(b)  </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Whether partnerships, joint ventures, and arrangements with management corporations conform to the corporation’s written policies, are properly recorded, reflect reasonable investment or payments for goods and services, further charitable purposes and do not result in inurnment, impermissible private benefit or in an excess benefit transaction.</w:t>
      </w:r>
    </w:p>
    <w:p w14:paraId="5CFE5C49"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25274E0A" w14:textId="77777777" w:rsidR="00556292" w:rsidRPr="00556292" w:rsidRDefault="00556292" w:rsidP="00556292">
      <w:pPr>
        <w:widowControl w:val="0"/>
        <w:autoSpaceDE w:val="0"/>
        <w:autoSpaceDN w:val="0"/>
        <w:adjustRightInd w:val="0"/>
        <w:jc w:val="both"/>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Article VIII</w:t>
      </w:r>
    </w:p>
    <w:p w14:paraId="6FE99039" w14:textId="77777777" w:rsidR="00556292" w:rsidRPr="00556292" w:rsidRDefault="00556292" w:rsidP="00556292">
      <w:pPr>
        <w:widowControl w:val="0"/>
        <w:autoSpaceDE w:val="0"/>
        <w:autoSpaceDN w:val="0"/>
        <w:adjustRightInd w:val="0"/>
        <w:jc w:val="center"/>
        <w:rPr>
          <w:rFonts w:ascii="Arial" w:hAnsi="Arial" w:cs="Arial"/>
          <w:b/>
          <w:bCs/>
          <w:color w:val="1A1A1A"/>
          <w:sz w:val="22"/>
          <w:szCs w:val="28"/>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 w:val="22"/>
          <w:szCs w:val="28"/>
          <w:u w:val="single" w:color="1A1A1A"/>
          <w14:shadow w14:blurRad="50800" w14:dist="38100" w14:dir="2700000" w14:sx="100000" w14:sy="100000" w14:kx="0" w14:ky="0" w14:algn="tl">
            <w14:srgbClr w14:val="000000">
              <w14:alpha w14:val="60000"/>
            </w14:srgbClr>
          </w14:shadow>
        </w:rPr>
        <w:t>USE OF OUTSIDE EXPERTS</w:t>
      </w:r>
    </w:p>
    <w:p w14:paraId="6E4EDC8E"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62702B8B"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When conducting the periodic reviews as provided for in Article VII, the corporation may, but need not, use outside advisors.  If outside experts are used, their use shall not relieve the governing board of its responsibility for ensuring periodic reviews are conducted.</w:t>
      </w:r>
    </w:p>
    <w:p w14:paraId="04436C5C"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29A0B860" w14:textId="77777777" w:rsidR="00556292" w:rsidRPr="00556292" w:rsidRDefault="00556292" w:rsidP="00556292">
      <w:pPr>
        <w:widowControl w:val="0"/>
        <w:autoSpaceDE w:val="0"/>
        <w:autoSpaceDN w:val="0"/>
        <w:adjustRightInd w:val="0"/>
        <w:jc w:val="both"/>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 w:val="30"/>
          <w:szCs w:val="36"/>
          <w:u w:val="single" w:color="1A1A1A"/>
          <w14:shadow w14:blurRad="50800" w14:dist="38100" w14:dir="2700000" w14:sx="100000" w14:sy="100000" w14:kx="0" w14:ky="0" w14:algn="tl">
            <w14:srgbClr w14:val="000000">
              <w14:alpha w14:val="60000"/>
            </w14:srgbClr>
          </w14:shadow>
        </w:rPr>
        <w:t>Certificate Of Adoption Of Conflict Of Interest</w:t>
      </w:r>
    </w:p>
    <w:p w14:paraId="15CE0222" w14:textId="77777777" w:rsidR="00556292" w:rsidRPr="00556292" w:rsidRDefault="00556292" w:rsidP="00556292">
      <w:pPr>
        <w:widowControl w:val="0"/>
        <w:autoSpaceDE w:val="0"/>
        <w:autoSpaceDN w:val="0"/>
        <w:adjustRightInd w:val="0"/>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sidRPr="00556292">
        <w:rPr>
          <w:rFonts w:ascii="Arial" w:hAnsi="Arial" w:cs="Arial"/>
          <w:b/>
          <w:bCs/>
          <w:color w:val="1A1A1A"/>
          <w:sz w:val="30"/>
          <w:szCs w:val="36"/>
          <w:u w:val="single" w:color="1A1A1A"/>
          <w14:shadow w14:blurRad="50800" w14:dist="38100" w14:dir="2700000" w14:sx="100000" w14:sy="100000" w14:kx="0" w14:ky="0" w14:algn="tl">
            <w14:srgbClr w14:val="000000">
              <w14:alpha w14:val="60000"/>
            </w14:srgbClr>
          </w14:shadow>
        </w:rPr>
        <w:t>Policy And Agreement</w:t>
      </w:r>
    </w:p>
    <w:p w14:paraId="1B34A23A" w14:textId="77777777" w:rsidR="00556292" w:rsidRPr="00556292" w:rsidRDefault="00556292" w:rsidP="00556292">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I do hereby certify that the above stated Conflict of Interest Policy and Agreement for </w:t>
      </w: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were approved and adopted by the board of directors on </w:t>
      </w:r>
      <w:r>
        <w:rPr>
          <w:rFonts w:ascii="Arial" w:hAnsi="Arial" w:cs="Arial"/>
          <w:color w:val="1A1A1A"/>
          <w:szCs w:val="30"/>
          <w:u w:color="1A1A1A"/>
          <w14:shadow w14:blurRad="50800" w14:dist="38100" w14:dir="2700000" w14:sx="100000" w14:sy="100000" w14:kx="0" w14:ky="0" w14:algn="tl">
            <w14:srgbClr w14:val="000000">
              <w14:alpha w14:val="60000"/>
            </w14:srgbClr>
          </w14:shadow>
        </w:rPr>
        <w:t>Sunday, January 31, 2016</w:t>
      </w: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and constitute a complete copy of the Conflict of Interest Policy of the corporation.</w:t>
      </w:r>
    </w:p>
    <w:p w14:paraId="4CACB5A0" w14:textId="6FBDFEFB" w:rsidR="008005CC" w:rsidRPr="00E52A76" w:rsidRDefault="00556292" w:rsidP="00E52A76">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w:t>
      </w:r>
      <w:bookmarkStart w:id="0" w:name="_GoBack"/>
      <w:bookmarkEnd w:id="0"/>
      <w:r w:rsidRPr="00556292">
        <w:rPr>
          <w:rFonts w:ascii="Arial" w:hAnsi="Arial" w:cs="Arial"/>
          <w:color w:val="1A1A1A"/>
          <w:szCs w:val="30"/>
          <w:u w:color="1A1A1A"/>
          <w14:shadow w14:blurRad="50800" w14:dist="38100" w14:dir="2700000" w14:sx="100000" w14:sy="100000" w14:kx="0" w14:ky="0" w14:algn="tl">
            <w14:srgbClr w14:val="000000">
              <w14:alpha w14:val="60000"/>
            </w14:srgbClr>
          </w14:shadow>
        </w:rPr>
        <w:t> </w:t>
      </w:r>
    </w:p>
    <w:sectPr w:rsidR="008005CC" w:rsidRPr="00E52A76" w:rsidSect="00D67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92"/>
    <w:rsid w:val="00556292"/>
    <w:rsid w:val="006C3160"/>
    <w:rsid w:val="008005CC"/>
    <w:rsid w:val="00935E22"/>
    <w:rsid w:val="00B923F2"/>
    <w:rsid w:val="00D67E69"/>
    <w:rsid w:val="00E52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CD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3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1627</Words>
  <Characters>9279</Characters>
  <Application>Microsoft Macintosh Word</Application>
  <DocSecurity>0</DocSecurity>
  <Lines>77</Lines>
  <Paragraphs>21</Paragraphs>
  <ScaleCrop>false</ScaleCrop>
  <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Roth</dc:creator>
  <cp:keywords/>
  <dc:description/>
  <cp:lastModifiedBy>Andrew Roth</cp:lastModifiedBy>
  <cp:revision>3</cp:revision>
  <dcterms:created xsi:type="dcterms:W3CDTF">2016-01-27T03:38:00Z</dcterms:created>
  <dcterms:modified xsi:type="dcterms:W3CDTF">2016-04-09T20:28:00Z</dcterms:modified>
</cp:coreProperties>
</file>